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8F13" w14:textId="5A62C9B4" w:rsidR="00093802" w:rsidRPr="00093802" w:rsidRDefault="00093802" w:rsidP="0009380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Table 1</w:t>
      </w:r>
      <w:r w:rsidRPr="00093802">
        <w:rPr>
          <w:rFonts w:ascii="Arial" w:hAnsi="Arial" w:cs="Arial"/>
          <w:b/>
          <w:bCs/>
          <w:sz w:val="22"/>
          <w:szCs w:val="22"/>
        </w:rPr>
        <w:t xml:space="preserve"> - Revised Themes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093802" w:rsidRPr="00093802" w14:paraId="33E5186A" w14:textId="77777777" w:rsidTr="006F1F72">
        <w:tc>
          <w:tcPr>
            <w:tcW w:w="4531" w:type="dxa"/>
          </w:tcPr>
          <w:p w14:paraId="3F1D92C9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Theme: Perceptions within the Professional Identity</w:t>
            </w:r>
          </w:p>
          <w:p w14:paraId="6C94FC6A" w14:textId="77777777" w:rsidR="00093802" w:rsidRPr="00093802" w:rsidRDefault="00093802" w:rsidP="006F1F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A44EB8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Acceptance</w:t>
            </w:r>
          </w:p>
          <w:p w14:paraId="7C6CA502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Normalising lived experience</w:t>
            </w:r>
          </w:p>
          <w:p w14:paraId="6F033875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You can be a therapist and have difficulties</w:t>
            </w:r>
          </w:p>
          <w:p w14:paraId="6999CEB9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 willingness to share</w:t>
            </w:r>
          </w:p>
          <w:p w14:paraId="4C9C708A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Prevalence of mental health</w:t>
            </w:r>
          </w:p>
          <w:p w14:paraId="2896361A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Normalising self-disclosure within CBT</w:t>
            </w:r>
          </w:p>
          <w:p w14:paraId="25A6405D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Lived experience is valuable</w:t>
            </w:r>
          </w:p>
          <w:p w14:paraId="75FFFD1C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 xml:space="preserve">Experts by experience </w:t>
            </w:r>
          </w:p>
          <w:p w14:paraId="789E0664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Reducing stigma of mental health</w:t>
            </w:r>
          </w:p>
          <w:p w14:paraId="616827D5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Perfectionism</w:t>
            </w:r>
          </w:p>
          <w:p w14:paraId="73CCF9CE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9985577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Uncertainty</w:t>
            </w:r>
          </w:p>
          <w:p w14:paraId="04137300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Reluctance to acknowledge one’s own mental health experiences as CBT therapists</w:t>
            </w:r>
          </w:p>
          <w:p w14:paraId="792F8663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Emotions about sharing lived experiences</w:t>
            </w:r>
          </w:p>
          <w:p w14:paraId="2F43776E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Personal therapy is not compulsory</w:t>
            </w:r>
          </w:p>
          <w:p w14:paraId="4A498D5A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Students’ reaction to disclosure</w:t>
            </w:r>
          </w:p>
          <w:p w14:paraId="02C0A019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CA8FD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Sub-theme: Cynicism </w:t>
            </w:r>
          </w:p>
          <w:p w14:paraId="1FFDCE48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Not having a place for lived experience in the workplace</w:t>
            </w:r>
          </w:p>
          <w:p w14:paraId="66DF6517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Lived experience viewed as a negative in the workplace</w:t>
            </w:r>
          </w:p>
          <w:p w14:paraId="23360164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 xml:space="preserve">Therapists should be strong </w:t>
            </w:r>
          </w:p>
          <w:p w14:paraId="69E03197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Lived experience as a weakness</w:t>
            </w:r>
          </w:p>
          <w:p w14:paraId="58DB6D02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Liaison with employers</w:t>
            </w:r>
          </w:p>
          <w:p w14:paraId="74F1C8EE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Ability to work alongside the experience</w:t>
            </w:r>
          </w:p>
          <w:p w14:paraId="7AB63F2E" w14:textId="77777777" w:rsidR="00093802" w:rsidRPr="00093802" w:rsidRDefault="00093802" w:rsidP="006F1F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Trainee resilience</w:t>
            </w:r>
          </w:p>
          <w:p w14:paraId="3CA2B721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9584AB9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Theme: Pedagogical Relationship</w:t>
            </w:r>
          </w:p>
          <w:p w14:paraId="5B377DF6" w14:textId="77777777" w:rsidR="00093802" w:rsidRPr="00093802" w:rsidRDefault="00093802" w:rsidP="006F1F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E82FA3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Power and Dynamics</w:t>
            </w:r>
          </w:p>
          <w:p w14:paraId="38788849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Power imbalance</w:t>
            </w:r>
          </w:p>
          <w:p w14:paraId="03112CF8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Power relations</w:t>
            </w:r>
          </w:p>
          <w:p w14:paraId="44F6CE68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Lessens the power dynamic</w:t>
            </w:r>
          </w:p>
          <w:p w14:paraId="4B593AFC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Change in the academic relationship</w:t>
            </w:r>
          </w:p>
          <w:p w14:paraId="39389FC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575589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Perception of Educators</w:t>
            </w:r>
          </w:p>
          <w:p w14:paraId="4D794F59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Admiration for lecturers</w:t>
            </w:r>
          </w:p>
          <w:p w14:paraId="41E5D65C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Students comparing themselves to educators</w:t>
            </w:r>
          </w:p>
          <w:p w14:paraId="295D56C6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Humanises educators</w:t>
            </w:r>
          </w:p>
          <w:p w14:paraId="7CD6AB1D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 xml:space="preserve">Makes educators more relatable </w:t>
            </w:r>
          </w:p>
          <w:p w14:paraId="526F78C9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Credibility</w:t>
            </w:r>
          </w:p>
          <w:p w14:paraId="19799D99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Students’ willingness to seek support from University staff</w:t>
            </w:r>
          </w:p>
          <w:p w14:paraId="699FC39B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Building rapport with students</w:t>
            </w:r>
          </w:p>
          <w:p w14:paraId="31200706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BA325E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Isolating Students</w:t>
            </w:r>
          </w:p>
          <w:p w14:paraId="662B1B09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Alienating students</w:t>
            </w:r>
          </w:p>
          <w:p w14:paraId="1EB90EC6" w14:textId="77777777" w:rsidR="00093802" w:rsidRPr="00093802" w:rsidRDefault="00093802" w:rsidP="006F1F7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Diversity in the educator team</w:t>
            </w:r>
          </w:p>
          <w:p w14:paraId="3C7887F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05C861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802" w:rsidRPr="00093802" w14:paraId="67B82557" w14:textId="77777777" w:rsidTr="006F1F72">
        <w:tc>
          <w:tcPr>
            <w:tcW w:w="4531" w:type="dxa"/>
          </w:tcPr>
          <w:p w14:paraId="76E678F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Theme: Benefitting Clinical Work</w:t>
            </w:r>
          </w:p>
          <w:p w14:paraId="02BC83F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040FA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Increasing Reflection</w:t>
            </w:r>
          </w:p>
          <w:p w14:paraId="116975EA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Explore own beliefs and how this may impact clinical work</w:t>
            </w:r>
          </w:p>
          <w:p w14:paraId="15DD5A3E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Recognising how clinician lived experience can impact the therapeutic relationship</w:t>
            </w:r>
          </w:p>
          <w:p w14:paraId="67DBB3E5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Vicarious trauma</w:t>
            </w:r>
          </w:p>
          <w:p w14:paraId="72913AF2" w14:textId="77777777" w:rsidR="00093802" w:rsidRPr="00093802" w:rsidRDefault="00093802" w:rsidP="006F1F7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88F3F30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Sub-theme: Therapeutic Skills</w:t>
            </w:r>
          </w:p>
          <w:p w14:paraId="3A77F638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Authenticity with clients and being more connected to them</w:t>
            </w:r>
          </w:p>
          <w:p w14:paraId="272D9DC2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Impact on students’ clinical work</w:t>
            </w:r>
          </w:p>
          <w:p w14:paraId="1C09E608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Boundaries</w:t>
            </w:r>
          </w:p>
          <w:p w14:paraId="42CA907B" w14:textId="77777777" w:rsidR="00093802" w:rsidRPr="00093802" w:rsidRDefault="00093802" w:rsidP="006F1F7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Modelling</w:t>
            </w:r>
          </w:p>
          <w:p w14:paraId="701594C6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F964D2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Theme: Enhancing Teaching</w:t>
            </w:r>
          </w:p>
          <w:p w14:paraId="289D8D8E" w14:textId="77777777" w:rsidR="00093802" w:rsidRPr="00093802" w:rsidRDefault="00093802" w:rsidP="006F1F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C3C14" w14:textId="77777777" w:rsidR="00093802" w:rsidRPr="00093802" w:rsidRDefault="00093802" w:rsidP="006F1F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Codes</w:t>
            </w:r>
          </w:p>
          <w:p w14:paraId="6AA9ADA5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More passionate teaching</w:t>
            </w:r>
          </w:p>
          <w:p w14:paraId="0A777FBE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Greater knowledge</w:t>
            </w:r>
          </w:p>
          <w:p w14:paraId="256C459C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More accessible teaching</w:t>
            </w:r>
          </w:p>
          <w:p w14:paraId="45B7443E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Putting theory into practice</w:t>
            </w:r>
          </w:p>
          <w:p w14:paraId="22C1DECF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Enhances teaching</w:t>
            </w:r>
          </w:p>
          <w:p w14:paraId="028D6E57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Comfortable teaching environment</w:t>
            </w:r>
          </w:p>
          <w:p w14:paraId="06CEA97F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lastRenderedPageBreak/>
              <w:t>Brings life to teaching</w:t>
            </w:r>
          </w:p>
          <w:p w14:paraId="41490EDB" w14:textId="77777777" w:rsidR="00093802" w:rsidRPr="00093802" w:rsidRDefault="00093802" w:rsidP="006F1F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 feedback</w:t>
            </w:r>
          </w:p>
          <w:p w14:paraId="2ACBCE5A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802" w:rsidRPr="00433653" w14:paraId="78EDAA88" w14:textId="77777777" w:rsidTr="006F1F72">
        <w:tc>
          <w:tcPr>
            <w:tcW w:w="4531" w:type="dxa"/>
          </w:tcPr>
          <w:p w14:paraId="1E7D61DC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Theme: Implementation </w:t>
            </w:r>
          </w:p>
          <w:p w14:paraId="4B1FF3F0" w14:textId="77777777" w:rsidR="00093802" w:rsidRPr="00093802" w:rsidRDefault="00093802" w:rsidP="006F1F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DE0ED0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Why Self-Disclose</w:t>
            </w:r>
          </w:p>
          <w:p w14:paraId="18EB0620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Rationale for disclosure</w:t>
            </w:r>
          </w:p>
          <w:p w14:paraId="0B56B4D2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Appropriateness of disclosure</w:t>
            </w:r>
          </w:p>
          <w:p w14:paraId="1863A2CD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Frequency of lived experience shared in teaching</w:t>
            </w:r>
          </w:p>
          <w:p w14:paraId="41694307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Educator choice of whether to disclose</w:t>
            </w:r>
          </w:p>
          <w:p w14:paraId="7E3D31FD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Vicarious trauma</w:t>
            </w:r>
          </w:p>
          <w:p w14:paraId="0CB3BDEF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8A3996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Preparation for Self-Disclosure</w:t>
            </w:r>
          </w:p>
          <w:p w14:paraId="5FD01F6F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Educators sharing what they feel comfortable with</w:t>
            </w:r>
          </w:p>
          <w:p w14:paraId="4E52CD66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Preparing for self-disclosure</w:t>
            </w:r>
          </w:p>
          <w:p w14:paraId="599EA75B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Being reductionist</w:t>
            </w:r>
          </w:p>
          <w:p w14:paraId="36873E14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Co-teaching</w:t>
            </w:r>
          </w:p>
          <w:p w14:paraId="7D654DF1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Being cautious with self-disclosure</w:t>
            </w:r>
          </w:p>
          <w:p w14:paraId="326C1E19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Readiness to share lived experience</w:t>
            </w:r>
          </w:p>
          <w:p w14:paraId="78CB6F2F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755091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Managing Student Response</w:t>
            </w:r>
          </w:p>
          <w:p w14:paraId="42A09322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Students probing too much about educator lived experience</w:t>
            </w:r>
          </w:p>
          <w:p w14:paraId="25394BA1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Students’ reaction to disclosure</w:t>
            </w:r>
          </w:p>
          <w:p w14:paraId="221735E2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Too much discussion of lived experience</w:t>
            </w:r>
          </w:p>
          <w:p w14:paraId="6F7AE322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Guidelines</w:t>
            </w:r>
          </w:p>
          <w:p w14:paraId="58688CDB" w14:textId="77777777" w:rsidR="00093802" w:rsidRPr="00093802" w:rsidRDefault="00093802" w:rsidP="006F1F7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DF090FD" w14:textId="77777777" w:rsidR="00093802" w:rsidRPr="00093802" w:rsidRDefault="00093802" w:rsidP="006F1F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802">
              <w:rPr>
                <w:rFonts w:ascii="Arial" w:hAnsi="Arial" w:cs="Arial"/>
                <w:b/>
                <w:bCs/>
                <w:sz w:val="22"/>
                <w:szCs w:val="22"/>
              </w:rPr>
              <w:t>Sub-theme: Post-Disclosure Considerations</w:t>
            </w:r>
          </w:p>
          <w:p w14:paraId="50F7152C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Reflection after sharing</w:t>
            </w:r>
          </w:p>
          <w:p w14:paraId="31F41BF7" w14:textId="77777777" w:rsidR="00093802" w:rsidRPr="00093802" w:rsidRDefault="00093802" w:rsidP="006F1F7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3802">
              <w:rPr>
                <w:rFonts w:ascii="Arial" w:hAnsi="Arial" w:cs="Arial"/>
                <w:sz w:val="22"/>
                <w:szCs w:val="22"/>
              </w:rPr>
              <w:t>Debrief for educators after sharing lived experience</w:t>
            </w:r>
          </w:p>
          <w:p w14:paraId="7CE1AA8B" w14:textId="77777777" w:rsidR="00093802" w:rsidRPr="00433653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8589233" w14:textId="77777777" w:rsidR="00093802" w:rsidRPr="00433653" w:rsidRDefault="00093802" w:rsidP="006F1F7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B414EC" w14:textId="77777777" w:rsidR="00093802" w:rsidRPr="00433653" w:rsidRDefault="00093802" w:rsidP="00093802">
      <w:pPr>
        <w:spacing w:after="0"/>
        <w:rPr>
          <w:rFonts w:ascii="Arial" w:hAnsi="Arial" w:cs="Arial"/>
          <w:sz w:val="22"/>
          <w:szCs w:val="22"/>
        </w:rPr>
      </w:pPr>
    </w:p>
    <w:p w14:paraId="279382C5" w14:textId="77777777" w:rsidR="00093802" w:rsidRDefault="00093802" w:rsidP="00093802">
      <w:pPr>
        <w:rPr>
          <w:rFonts w:ascii="Arial" w:hAnsi="Arial" w:cs="Arial"/>
          <w:b/>
          <w:bCs/>
          <w:sz w:val="22"/>
          <w:szCs w:val="22"/>
        </w:rPr>
      </w:pPr>
    </w:p>
    <w:p w14:paraId="3B664722" w14:textId="77777777" w:rsidR="00F06708" w:rsidRDefault="00F06708"/>
    <w:sectPr w:rsidR="00F06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79B2"/>
    <w:multiLevelType w:val="hybridMultilevel"/>
    <w:tmpl w:val="0C72C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32B72"/>
    <w:multiLevelType w:val="hybridMultilevel"/>
    <w:tmpl w:val="E1FC4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B1E98"/>
    <w:multiLevelType w:val="hybridMultilevel"/>
    <w:tmpl w:val="E6C80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6A2EE8"/>
    <w:multiLevelType w:val="hybridMultilevel"/>
    <w:tmpl w:val="684CC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C109A5"/>
    <w:multiLevelType w:val="hybridMultilevel"/>
    <w:tmpl w:val="54D28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641563">
    <w:abstractNumId w:val="4"/>
  </w:num>
  <w:num w:numId="2" w16cid:durableId="1251964056">
    <w:abstractNumId w:val="1"/>
  </w:num>
  <w:num w:numId="3" w16cid:durableId="2050688758">
    <w:abstractNumId w:val="2"/>
  </w:num>
  <w:num w:numId="4" w16cid:durableId="810294445">
    <w:abstractNumId w:val="3"/>
  </w:num>
  <w:num w:numId="5" w16cid:durableId="14936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02"/>
    <w:rsid w:val="00093802"/>
    <w:rsid w:val="001B5B75"/>
    <w:rsid w:val="00216E3C"/>
    <w:rsid w:val="00DF5D83"/>
    <w:rsid w:val="00F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D44E"/>
  <w15:chartTrackingRefBased/>
  <w15:docId w15:val="{5B3DB952-8409-4F82-86EC-CA608184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02"/>
    <w:pPr>
      <w:spacing w:line="300" w:lineRule="auto"/>
    </w:pPr>
    <w:rPr>
      <w:rFonts w:eastAsiaTheme="minorEastAsia"/>
      <w:kern w:val="0"/>
      <w:sz w:val="21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8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3802"/>
    <w:pPr>
      <w:spacing w:after="0" w:line="240" w:lineRule="auto"/>
    </w:pPr>
    <w:rPr>
      <w:rFonts w:eastAsiaTheme="minorEastAsia"/>
      <w:kern w:val="0"/>
      <w:sz w:val="21"/>
      <w:szCs w:val="21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Emma-Jayne Conway</dc:creator>
  <cp:keywords/>
  <dc:description/>
  <cp:lastModifiedBy>Emma-Jayne Conway</cp:lastModifiedBy>
  <cp:revision>1</cp:revision>
  <dcterms:created xsi:type="dcterms:W3CDTF">2025-07-10T11:47:00Z</dcterms:created>
  <dcterms:modified xsi:type="dcterms:W3CDTF">2025-07-10T11:48:00Z</dcterms:modified>
</cp:coreProperties>
</file>